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1165B7FD" w:rsidR="003C3F1A" w:rsidRPr="00276EED" w:rsidRDefault="00A458AD" w:rsidP="00A458AD">
      <w:pPr>
        <w:pStyle w:val="Tytu"/>
      </w:pPr>
      <w:r>
        <w:t>przełączanie rezystywne w układach opartych o dichalkogenki metali przejściowych</w:t>
      </w:r>
    </w:p>
    <w:p w14:paraId="76DA066E" w14:textId="77777777" w:rsidR="003C3F1A" w:rsidRPr="00276EED" w:rsidRDefault="003C3F1A" w:rsidP="00A458AD">
      <w:pPr>
        <w:pStyle w:val="Tytu"/>
      </w:pPr>
    </w:p>
    <w:p w14:paraId="2535A1C6" w14:textId="0452A559" w:rsidR="003C3F1A" w:rsidRPr="00276EED" w:rsidRDefault="00272CE9" w:rsidP="00272CE9">
      <w:pPr>
        <w:pStyle w:val="Autorzy"/>
        <w:rPr>
          <w:vertAlign w:val="superscript"/>
        </w:rPr>
      </w:pPr>
      <w:r w:rsidRPr="00A458AD">
        <w:rPr>
          <w:caps w:val="0"/>
          <w:u w:val="single"/>
        </w:rPr>
        <w:t>R. Dunal</w:t>
      </w:r>
      <w:r w:rsidRPr="00A458AD">
        <w:rPr>
          <w:caps w:val="0"/>
          <w:u w:val="single"/>
          <w:vertAlign w:val="superscript"/>
        </w:rPr>
        <w:t>1*</w:t>
      </w:r>
      <w:r w:rsidRPr="00272CE9">
        <w:rPr>
          <w:caps w:val="0"/>
        </w:rPr>
        <w:t>, M. Rogala</w:t>
      </w:r>
      <w:r w:rsidRPr="00272CE9">
        <w:rPr>
          <w:caps w:val="0"/>
          <w:vertAlign w:val="superscript"/>
        </w:rPr>
        <w:t>1</w:t>
      </w:r>
      <w:r w:rsidRPr="00272CE9">
        <w:rPr>
          <w:caps w:val="0"/>
        </w:rPr>
        <w:t>, D.A. Kowalczyk</w:t>
      </w:r>
      <w:r w:rsidRPr="00272CE9">
        <w:rPr>
          <w:caps w:val="0"/>
          <w:vertAlign w:val="superscript"/>
        </w:rPr>
        <w:t>1</w:t>
      </w:r>
      <w:r w:rsidRPr="00272CE9">
        <w:rPr>
          <w:caps w:val="0"/>
        </w:rPr>
        <w:t>, K. Szałowski</w:t>
      </w:r>
      <w:r w:rsidRPr="00272CE9">
        <w:rPr>
          <w:caps w:val="0"/>
          <w:vertAlign w:val="superscript"/>
        </w:rPr>
        <w:t>1</w:t>
      </w:r>
      <w:r w:rsidRPr="00272CE9">
        <w:rPr>
          <w:caps w:val="0"/>
        </w:rPr>
        <w:t>, W. Kozłowski</w:t>
      </w:r>
      <w:r w:rsidRPr="00272CE9">
        <w:rPr>
          <w:caps w:val="0"/>
          <w:vertAlign w:val="superscript"/>
        </w:rPr>
        <w:t>1</w:t>
      </w:r>
      <w:r w:rsidRPr="00272CE9">
        <w:rPr>
          <w:caps w:val="0"/>
        </w:rPr>
        <w:t>, I. Lutsyk</w:t>
      </w:r>
      <w:r w:rsidRPr="00272CE9">
        <w:rPr>
          <w:caps w:val="0"/>
          <w:vertAlign w:val="superscript"/>
        </w:rPr>
        <w:t>1</w:t>
      </w:r>
      <w:r w:rsidRPr="00272CE9">
        <w:rPr>
          <w:caps w:val="0"/>
        </w:rPr>
        <w:t>, M. Piskorski</w:t>
      </w:r>
      <w:r w:rsidRPr="00272CE9">
        <w:rPr>
          <w:caps w:val="0"/>
          <w:vertAlign w:val="superscript"/>
        </w:rPr>
        <w:t>1</w:t>
      </w:r>
      <w:r w:rsidRPr="00272CE9">
        <w:rPr>
          <w:caps w:val="0"/>
        </w:rPr>
        <w:t>, P. Krukowski</w:t>
      </w:r>
      <w:r w:rsidRPr="00272CE9">
        <w:rPr>
          <w:caps w:val="0"/>
          <w:vertAlign w:val="superscript"/>
        </w:rPr>
        <w:t>1</w:t>
      </w:r>
      <w:r w:rsidRPr="00272CE9">
        <w:rPr>
          <w:caps w:val="0"/>
        </w:rPr>
        <w:t>, P. Dąbrowski</w:t>
      </w:r>
      <w:r w:rsidRPr="00272CE9">
        <w:rPr>
          <w:caps w:val="0"/>
          <w:vertAlign w:val="superscript"/>
        </w:rPr>
        <w:t>1</w:t>
      </w:r>
      <w:r w:rsidRPr="00272CE9">
        <w:rPr>
          <w:caps w:val="0"/>
        </w:rPr>
        <w:t xml:space="preserve">, </w:t>
      </w:r>
      <w:r w:rsidR="00764E91">
        <w:rPr>
          <w:caps w:val="0"/>
        </w:rPr>
        <w:t>M</w:t>
      </w:r>
      <w:r w:rsidR="00764E91" w:rsidRPr="00272CE9">
        <w:rPr>
          <w:caps w:val="0"/>
        </w:rPr>
        <w:t xml:space="preserve">. </w:t>
      </w:r>
      <w:r w:rsidR="00764E91">
        <w:rPr>
          <w:caps w:val="0"/>
        </w:rPr>
        <w:t>Le Ster</w:t>
      </w:r>
      <w:r w:rsidR="00764E91" w:rsidRPr="00272CE9">
        <w:rPr>
          <w:caps w:val="0"/>
          <w:vertAlign w:val="superscript"/>
        </w:rPr>
        <w:t>1</w:t>
      </w:r>
      <w:r w:rsidR="00764E91" w:rsidRPr="00272CE9">
        <w:rPr>
          <w:caps w:val="0"/>
        </w:rPr>
        <w:t>,</w:t>
      </w:r>
      <w:r w:rsidR="00764E91">
        <w:rPr>
          <w:caps w:val="0"/>
        </w:rPr>
        <w:t xml:space="preserve"> </w:t>
      </w:r>
      <w:r w:rsidRPr="00272CE9">
        <w:rPr>
          <w:caps w:val="0"/>
        </w:rPr>
        <w:t>A. Nadolska</w:t>
      </w:r>
      <w:r w:rsidRPr="00272CE9">
        <w:rPr>
          <w:caps w:val="0"/>
          <w:vertAlign w:val="superscript"/>
        </w:rPr>
        <w:t>1</w:t>
      </w:r>
      <w:r w:rsidRPr="00272CE9">
        <w:rPr>
          <w:caps w:val="0"/>
        </w:rPr>
        <w:t>,</w:t>
      </w:r>
      <w:r w:rsidR="005D3A8A">
        <w:rPr>
          <w:caps w:val="0"/>
        </w:rPr>
        <w:br/>
      </w:r>
      <w:r w:rsidRPr="00272CE9">
        <w:rPr>
          <w:caps w:val="0"/>
        </w:rPr>
        <w:t>P. Przybysz</w:t>
      </w:r>
      <w:r w:rsidRPr="00272CE9">
        <w:rPr>
          <w:caps w:val="0"/>
          <w:vertAlign w:val="superscript"/>
        </w:rPr>
        <w:t>1</w:t>
      </w:r>
      <w:r w:rsidRPr="00272CE9">
        <w:rPr>
          <w:caps w:val="0"/>
        </w:rPr>
        <w:t>,</w:t>
      </w:r>
      <w:r w:rsidR="007054B5">
        <w:rPr>
          <w:caps w:val="0"/>
        </w:rPr>
        <w:t xml:space="preserve"> </w:t>
      </w:r>
      <w:r w:rsidRPr="00272CE9">
        <w:rPr>
          <w:caps w:val="0"/>
        </w:rPr>
        <w:t>W. Ryś</w:t>
      </w:r>
      <w:r w:rsidRPr="00272CE9">
        <w:rPr>
          <w:caps w:val="0"/>
          <w:vertAlign w:val="superscript"/>
        </w:rPr>
        <w:t>1</w:t>
      </w:r>
      <w:r w:rsidRPr="00272CE9">
        <w:rPr>
          <w:caps w:val="0"/>
        </w:rPr>
        <w:t>, K. Toczek</w:t>
      </w:r>
      <w:r w:rsidRPr="00272CE9">
        <w:rPr>
          <w:caps w:val="0"/>
          <w:vertAlign w:val="superscript"/>
        </w:rPr>
        <w:t>1</w:t>
      </w:r>
      <w:r w:rsidRPr="00272CE9">
        <w:rPr>
          <w:caps w:val="0"/>
        </w:rPr>
        <w:t>, P.J. Kowalczyk</w:t>
      </w:r>
      <w:r w:rsidRPr="00272CE9">
        <w:rPr>
          <w:caps w:val="0"/>
          <w:vertAlign w:val="superscript"/>
        </w:rPr>
        <w:t>1</w:t>
      </w:r>
    </w:p>
    <w:p w14:paraId="19E666C4" w14:textId="41AC2B9C" w:rsidR="00272CE9" w:rsidRPr="00272CE9" w:rsidRDefault="00272CE9" w:rsidP="00272CE9">
      <w:pPr>
        <w:spacing w:line="240" w:lineRule="auto"/>
        <w:jc w:val="center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  <w:vertAlign w:val="superscript"/>
        </w:rPr>
        <w:t>1</w:t>
      </w:r>
      <w:r w:rsidRPr="00272CE9">
        <w:rPr>
          <w:rStyle w:val="normaltextrun"/>
          <w:color w:val="000000"/>
          <w:shd w:val="clear" w:color="auto" w:fill="FFFFFF"/>
        </w:rPr>
        <w:t>Wydział Fizyki i Informatyki Stosowanej, Uniwersytet Łódzki, </w:t>
      </w:r>
      <w:r w:rsidRPr="00272CE9">
        <w:rPr>
          <w:rStyle w:val="scxw227072718"/>
          <w:color w:val="000000"/>
          <w:shd w:val="clear" w:color="auto" w:fill="FFFFFF"/>
        </w:rPr>
        <w:t> </w:t>
      </w:r>
      <w:r w:rsidRPr="00272CE9">
        <w:rPr>
          <w:color w:val="000000"/>
          <w:shd w:val="clear" w:color="auto" w:fill="FFFFFF"/>
        </w:rPr>
        <w:br/>
      </w:r>
      <w:r w:rsidRPr="00272CE9">
        <w:rPr>
          <w:rStyle w:val="normaltextrun"/>
          <w:color w:val="000000"/>
          <w:shd w:val="clear" w:color="auto" w:fill="FFFFFF"/>
        </w:rPr>
        <w:t>Pomorska 149/153, 90-236 Łódź</w:t>
      </w:r>
      <w:r w:rsidRPr="00272CE9">
        <w:rPr>
          <w:rStyle w:val="eop"/>
          <w:color w:val="000000"/>
          <w:shd w:val="clear" w:color="auto" w:fill="FFFFFF"/>
        </w:rPr>
        <w:t> 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42707089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272CE9">
        <w:t>rafal.dunal@edu.uni.lodz.pl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6C0426DF" w14:textId="0CEBD9FB" w:rsidR="005814B8" w:rsidRDefault="005814B8" w:rsidP="005814B8">
      <w:pPr>
        <w:ind w:firstLine="708"/>
      </w:pPr>
      <w:r>
        <w:t>Przełączanie rezystywne to zdolność materiału do trwałej zmiany swojej rezystancji pod wpływem przyłożonego pola elektrycznego. Dzięki prostocie budowy układów przełączanych rezystywnie, zjawisko to może zostać zastosowane w obszarze technologii nieulotnej komputerowej pamięci. Komórki pamięci w technologii przełączania rezystywnego to struktury metal/izolator(półprzewodnik)/metal. Stymulacja warstwy izolatorowej (lub półprzewodnikowej) za pomocą pola elektrycznego o odpowiednio wysokim natężeniu powoduje trwałą zmianę rezystancji, której wartość może reprezentować określony stan logiczny komórki pamięciowej. Efekt ten jest odwracalny, co pozwala na programowanie komórek między dwoma lub w niektórych przypadkach większą ilością stanów logicznych.</w:t>
      </w:r>
    </w:p>
    <w:p w14:paraId="42244DB8" w14:textId="45265CB0" w:rsidR="001C795B" w:rsidRDefault="005814B8" w:rsidP="005814B8">
      <w:pPr>
        <w:ind w:firstLine="708"/>
      </w:pPr>
      <w:r>
        <w:t xml:space="preserve">Aby zmaksymalizować wydajność takich układów, niezbędne jest dokładne scharakteryzowanie procesów fizycznych odpowiedzialnych za przełączanie rezystywne. </w:t>
      </w:r>
      <w:r>
        <w:br/>
        <w:t xml:space="preserve">Aby tego dokonać prowadzimy badania z użyciem mikroskopu sił atomowych wyposażonego w sondę przewodzącą (CAFM), co pozwala badać topografię oraz lokalne zmiany przewodnictwa w układach z warstwami </w:t>
      </w:r>
      <w:proofErr w:type="spellStart"/>
      <w:r>
        <w:t>dichalkogenków</w:t>
      </w:r>
      <w:proofErr w:type="spellEnd"/>
      <w:r>
        <w:t xml:space="preserve"> metali przejściowych. Są to materiały o wzorze ogólnym MX</w:t>
      </w:r>
      <w:r>
        <w:rPr>
          <w:vertAlign w:val="subscript"/>
        </w:rPr>
        <w:t>2</w:t>
      </w:r>
      <w:r>
        <w:t xml:space="preserve"> gdzie M oznacza atom metalu przejściowego natomiast X to atom tlenowca (np. selen, tellur lub polon). Jedną z głównych zalet tych materiałów jest możliwość otrzymywania atomowo cienkich struktur</w:t>
      </w:r>
      <w:r w:rsidR="0093464D">
        <w:t>,</w:t>
      </w:r>
      <w:r>
        <w:t xml:space="preserve"> co wiąże się z </w:t>
      </w:r>
      <w:r w:rsidR="0093464D">
        <w:t xml:space="preserve">możliwością efektywnego energetycznie przełączania </w:t>
      </w:r>
      <w:r>
        <w:t xml:space="preserve">bardzo </w:t>
      </w:r>
      <w:r w:rsidR="0093464D">
        <w:t>ograniczonych objętości materiału</w:t>
      </w:r>
      <w:r>
        <w:t xml:space="preserve">. </w:t>
      </w:r>
      <w:r w:rsidR="00DB228F">
        <w:t>Przedstawimy lokalne zmiany przewodnictwa w</w:t>
      </w:r>
      <w:r w:rsidR="002B6BFA">
        <w:t xml:space="preserve"> warstwach</w:t>
      </w:r>
      <w:r>
        <w:t xml:space="preserve"> MoS</w:t>
      </w:r>
      <w:r>
        <w:rPr>
          <w:vertAlign w:val="subscript"/>
        </w:rPr>
        <w:t>2</w:t>
      </w:r>
      <w:r>
        <w:t xml:space="preserve">, </w:t>
      </w:r>
      <w:r w:rsidR="002B6BFA">
        <w:t>który jest jednym</w:t>
      </w:r>
      <w:r>
        <w:t xml:space="preserve"> z najbardziej obiecujących</w:t>
      </w:r>
      <w:r w:rsidR="00CE45B7">
        <w:t xml:space="preserve"> materiałów </w:t>
      </w:r>
      <w:r w:rsidR="002B6BFA">
        <w:t>dwuwymiarowych</w:t>
      </w:r>
      <w:r w:rsidR="00CE45B7">
        <w:t xml:space="preserve"> do zastosowania w tej technologii</w:t>
      </w:r>
      <w:r>
        <w:t>,</w:t>
      </w:r>
      <w:r w:rsidR="00CE45B7">
        <w:t xml:space="preserve"> ze względu na swoje właściwości elektroniczne </w:t>
      </w:r>
      <w:r w:rsidR="00A64E70">
        <w:t>i</w:t>
      </w:r>
      <w:r w:rsidR="00CE45B7">
        <w:t xml:space="preserve"> łatwość </w:t>
      </w:r>
      <w:r w:rsidR="002B6BFA">
        <w:t>syntezy</w:t>
      </w:r>
      <w:r w:rsidR="00CE45B7">
        <w:t xml:space="preserve"> </w:t>
      </w:r>
      <w:proofErr w:type="spellStart"/>
      <w:r w:rsidR="00CE45B7">
        <w:t>monowarstwy</w:t>
      </w:r>
      <w:proofErr w:type="spellEnd"/>
      <w:r>
        <w:t>.</w:t>
      </w:r>
    </w:p>
    <w:p w14:paraId="1366BB4E" w14:textId="58369CA5" w:rsidR="005814B8" w:rsidRDefault="005814B8" w:rsidP="005814B8">
      <w:pPr>
        <w:ind w:firstLine="708"/>
      </w:pPr>
      <w:r>
        <w:t xml:space="preserve"> </w:t>
      </w:r>
    </w:p>
    <w:p w14:paraId="6E99D2E1" w14:textId="7EC254ED" w:rsidR="00324E16" w:rsidRPr="00324E16" w:rsidRDefault="005814B8" w:rsidP="005814B8">
      <w:pPr>
        <w:ind w:firstLine="708"/>
      </w:pPr>
      <w:r w:rsidRPr="003D3E06">
        <w:rPr>
          <w:color w:val="242424"/>
          <w:shd w:val="clear" w:color="auto" w:fill="FFFFFF"/>
        </w:rPr>
        <w:t>Niniejsze badania są wspierane przez Narodowe Centrum Nauki w ramach projekt</w:t>
      </w:r>
      <w:r w:rsidR="00B73FCD">
        <w:rPr>
          <w:color w:val="242424"/>
          <w:shd w:val="clear" w:color="auto" w:fill="FFFFFF"/>
        </w:rPr>
        <w:t>u</w:t>
      </w:r>
      <w:r w:rsidRPr="003D3E06">
        <w:rPr>
          <w:color w:val="242424"/>
          <w:shd w:val="clear" w:color="auto" w:fill="FFFFFF"/>
        </w:rPr>
        <w:t xml:space="preserve"> 2020/38/E/ST3/00293.</w:t>
      </w:r>
    </w:p>
    <w:sectPr w:rsidR="00324E16" w:rsidRPr="00324E16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31BAF"/>
    <w:rsid w:val="001C795B"/>
    <w:rsid w:val="00272CE9"/>
    <w:rsid w:val="002B6BFA"/>
    <w:rsid w:val="00324E16"/>
    <w:rsid w:val="003C3F1A"/>
    <w:rsid w:val="005814B8"/>
    <w:rsid w:val="005D3A8A"/>
    <w:rsid w:val="007054B5"/>
    <w:rsid w:val="00764E91"/>
    <w:rsid w:val="008C1519"/>
    <w:rsid w:val="008C65A3"/>
    <w:rsid w:val="0093464D"/>
    <w:rsid w:val="00A458AD"/>
    <w:rsid w:val="00A64E70"/>
    <w:rsid w:val="00A751B1"/>
    <w:rsid w:val="00B73FCD"/>
    <w:rsid w:val="00CE45B7"/>
    <w:rsid w:val="00D72A21"/>
    <w:rsid w:val="00DB228F"/>
    <w:rsid w:val="00DD77BE"/>
    <w:rsid w:val="00E13767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A458AD"/>
    <w:pPr>
      <w:spacing w:line="240" w:lineRule="auto"/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458AD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character" w:customStyle="1" w:styleId="normaltextrun">
    <w:name w:val="normaltextrun"/>
    <w:basedOn w:val="Domylnaczcionkaakapitu"/>
    <w:rsid w:val="00272CE9"/>
  </w:style>
  <w:style w:type="character" w:customStyle="1" w:styleId="eop">
    <w:name w:val="eop"/>
    <w:basedOn w:val="Domylnaczcionkaakapitu"/>
    <w:rsid w:val="00272CE9"/>
  </w:style>
  <w:style w:type="character" w:customStyle="1" w:styleId="scxw227072718">
    <w:name w:val="scxw227072718"/>
    <w:basedOn w:val="Domylnaczcionkaakapitu"/>
    <w:rsid w:val="0027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Rafał Dunal</cp:lastModifiedBy>
  <cp:revision>9</cp:revision>
  <dcterms:created xsi:type="dcterms:W3CDTF">2022-04-22T14:09:00Z</dcterms:created>
  <dcterms:modified xsi:type="dcterms:W3CDTF">2022-04-24T19:38:00Z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